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tos" w:hAnsi="Aptos"/>
        </w:rPr>
        <w:t>Downtown Community Survey Topics and Sample Questions</w:t>
      </w:r>
    </w:p>
    <w:p>
      <w:pPr>
        <w:spacing w:after="320"/>
      </w:pPr>
      <w:r>
        <w:rPr>
          <w:rFonts w:ascii="Aptos" w:hAnsi="Aptos"/>
          <w:b/>
          <w:color w:val="123F36"/>
        </w:rPr>
        <w:t>Prepared for Citizens for Responsible Development in Thousand Oaks</w:t>
      </w:r>
    </w:p>
    <w:p>
      <w:r>
        <w:rPr>
          <w:rFonts w:ascii="Aptos" w:hAnsi="Aptos"/>
        </w:rPr>
        <w:t>This planning document translates the proposed survey topics into neutral sample questions and response formats. It also recommends a fielding process that distinguishes invited participants from open-link participants, assigns an anonymous response ID, and makes publication of a participant name strictly optional.</w:t>
      </w:r>
    </w:p>
    <w:p>
      <w:pPr>
        <w:pStyle w:val="Heading1"/>
      </w:pPr>
      <w:r>
        <w:rPr>
          <w:rFonts w:ascii="Aptos" w:hAnsi="Aptos"/>
        </w:rPr>
        <w:t>Recommended questionnaire structure</w:t>
      </w:r>
    </w:p>
    <w:p>
      <w:r>
        <w:rPr>
          <w:rFonts w:ascii="Aptos" w:hAnsi="Aptos"/>
        </w:rPr>
        <w:t>The questionnaire should begin with eligibility and residency questions, present the nine policy topics in a balanced order, and end with optional profile questions. The core survey should take about eight to ten minutes. Every substantive question should include a neutral option such as Not sure, Neither support nor oppose, or Prefer not to answer when appropriate.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792"/>
        <w:gridCol w:w="3456"/>
        <w:gridCol w:w="5400"/>
      </w:tblGrid>
      <w:tr>
        <w:trPr>
          <w:tblHeader w:val="true"/>
        </w:trPr>
        <w:tc>
          <w:tcPr>
            <w:tcW w:type="dxa" w:w="3331"/>
            <w:shd w:fill="123F3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3331"/>
            <w:shd w:fill="123F3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3331"/>
            <w:shd w:fill="123F3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</w:rPr>
              <w:t>Primary measurement goal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Land use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Preferred mix of uses and activities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Building height and density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Acceptable scale and concentration of development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Tree preservation and landscaping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Priorities for existing trees, shade, habitat, and planting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Architectural character and aesthetics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Preferred character, materials, and streetscape qualities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Traffic parking and mobility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Acceptable transportation tradeoffs and improvements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Parks and public gathering places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Desired public spaces, amenities, and programming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Housing choices and affordability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Preferred housing types and affordability approaches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Local businesses and community services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DF4F1"/>
          </w:tcPr>
          <w:p>
            <w:r>
              <w:t>Desired commercial, civic, and everyday services</w:t>
            </w:r>
          </w:p>
        </w:tc>
      </w:tr>
      <w:tr>
        <w:tc>
          <w:tcPr>
            <w:tcW w:type="dxa" w:w="7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34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Infrastructure and environmental impacts</w:t>
            </w:r>
          </w:p>
        </w:tc>
        <w:tc>
          <w:tcPr>
            <w:tcW w:type="dxa" w:w="54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Acceptable impacts, capacity needs, and mitigation priorities</w:t>
            </w:r>
          </w:p>
        </w:tc>
      </w:tr>
    </w:tbl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Topic 1 Land use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the community’s preferred mix of uses without assuming that any one land use must dominate the site.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uses, if any, should receive the highest priority on land designated for the Downtown Project?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up to three: housing; locally owned shops and restaurants; offices or employment space; parks and open space; civic or cultural facilities; health and social services; entertainment; other;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much of the project area should be reserved for publicly accessible open space?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Five-point scale from None to A large share, plus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Which overall land-use approach would you prefer?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Mostly residential; balanced residential and commercial; mostly commercial or civic; primarily parks and public facilities; another approach; not sure.</w:t>
      </w:r>
    </w:p>
    <w:p>
      <w:pPr>
        <w:pStyle w:val="Heading1"/>
      </w:pPr>
      <w:r>
        <w:rPr>
          <w:rFonts w:ascii="Aptos" w:hAnsi="Aptos"/>
        </w:rPr>
        <w:t>Topic 2 Building height and density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preferences about physical scale using plain definitions and visual references that show the same viewpoint and level of detail.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What should be the usual maximum building height in the downtown area?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Two stories; three stories; four stories; five stories; decide case by case;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Which average residential density range would you support for downtown housing?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Up to 20 homes per acre; 20 to 35; 35 to 55; 55 to 80; more than 80; not sure. Each range should include a neutral form description.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Would you support one additional story when a project provides a defined public benefit?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Yes; depends on the benefit; no; not sure. Follow with a randomized list of possible benefits.</w:t>
      </w:r>
    </w:p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Topic 3 Tree preservation and landscaping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how residents weigh preservation, replacement, shade, habitat, and site design.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How important is preserving mature and protected trees within the project area?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Four-point importance scale from Not important to Essential, plus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If a mature tree cannot be preserved, which response should be required?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Replace on site; replace elsewhere nearby; pay into a tree program; evaluate case by case; no special requirement;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Which landscape features should receive the highest priority?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up to three: native trees; shaded sidewalks; drought-tolerant planting; habitat connections; stormwater gardens; lawn or flexible turf; other; not sure.</w:t>
      </w:r>
    </w:p>
    <w:p>
      <w:pPr>
        <w:pStyle w:val="Heading1"/>
      </w:pPr>
      <w:r>
        <w:rPr>
          <w:rFonts w:ascii="Aptos" w:hAnsi="Aptos"/>
        </w:rPr>
        <w:t>Topic 4 Architectural character and aesthetics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preferred character without presenting one example more favorably than another.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general downtown character would you most prefer for Thousand Oaks?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Randomized visual choices: Santa Barbara; Ojai; Ventura; Los Olivos; none of these; not sure. Use matched image size, season, weather, and caption detail.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important should each design quality be?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Rate separately: varied facades; durable materials; shaded arcades; visible roof forms; storefront windows; mountain views; landscaped setbacks.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Should new buildings follow one consistent design style or allow a range of compatible styles?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One consistent style; a limited family of styles; a broad range with common standards; no preference; not sure.</w:t>
      </w:r>
    </w:p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Topic 5 Traffic parking and mobility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transportation priorities and tradeoffs for drivers, pedestrians, bicyclists, transit riders, and nearby neighborhoods.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transportation outcomes should receive the highest priority?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Rank or choose up to three: reduce neighborhood traffic; provide convenient parking; improve pedestrian safety; add bicycle connections; improve transit access; preserve roadway capacity; other;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Which parking approach would you support?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Mostly on-site parking; shared public parking; a mix of both; lower parking requirements near transit; another approach;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How acceptable would additional traffic be if the project also funded specific transportation improvements?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Five-point scale from Completely unacceptable to Completely acceptable, followed by the improvement that matters most.</w:t>
      </w:r>
    </w:p>
    <w:p>
      <w:pPr>
        <w:pStyle w:val="Heading1"/>
      </w:pPr>
      <w:r>
        <w:rPr>
          <w:rFonts w:ascii="Aptos" w:hAnsi="Aptos"/>
        </w:rPr>
        <w:t>Topic 6 Parks and public gathering places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Identify the public spaces and amenities residents are most likely to use.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public spaces should be included in the downtown area?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up to three: neighborhood park; central plaza; children’s play area; shaded seating; performance space; community garden; dog area; walking paths; other;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often do you think you would use a downtown public space?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Several times a week; weekly; monthly; a few times a year; rarely or never;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Which activities would most encourage you to visit?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Randomized list: farmers market; concerts; festivals; outdoor dining; classes; public art; informal seating; family activities; other; none.</w:t>
      </w:r>
    </w:p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Topic 7 Housing choices and affordability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preferences about housing types and affordability without implying that one approach has already been selected.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housing types, if any, should be included?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all that apply: apartments; condominiums; townhomes; senior housing; live-work units; supportive housing; none; other;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important is including homes affordable to households at different income levels?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Four-point importance scale from Not important to Essential, plus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Which affordability approach would you most support?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On-site affordable homes; fees supporting homes elsewhere; public land partnership; incentives for deeper affordability; no special requirement; not sure.</w:t>
      </w:r>
    </w:p>
    <w:p>
      <w:pPr>
        <w:pStyle w:val="Heading1"/>
      </w:pPr>
      <w:r>
        <w:rPr>
          <w:rFonts w:ascii="Aptos" w:hAnsi="Aptos"/>
        </w:rPr>
        <w:t>Topic 8 Local businesses and community services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Identify the commercial and civic uses that would make the area useful in daily life.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businesses or services would you be most likely to use?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up to five from a randomized list including restaurants, grocery, pharmacy, professional services, child care, arts, recreation, public services, and other.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important is reserving some smaller storefronts for locally owned businesses?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Four-point importance scale from Not important to Essential, plus Not sure.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Which civic or community services should be considered?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all that apply: library services; community meeting rooms; arts and cultural space; youth or senior programs; health services; public safety office; none; other.</w:t>
      </w:r>
    </w:p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Topic 9 Infrastructure and environmental impacts</w:t>
      </w:r>
    </w:p>
    <w:p>
      <w:r>
        <w:rPr>
          <w:rFonts w:ascii="Aptos" w:hAnsi="Aptos"/>
          <w:b/>
        </w:rPr>
        <w:t xml:space="preserve">Measurement objective  </w:t>
      </w:r>
      <w:r>
        <w:rPr>
          <w:rFonts w:ascii="Aptos" w:hAnsi="Aptos"/>
        </w:rPr>
        <w:t>Measure which capacity questions and environmental effects residents want evaluated before decisions are made.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1  </w:t>
      </w:r>
      <w:r>
        <w:rPr>
          <w:rFonts w:ascii="Aptos" w:hAnsi="Aptos"/>
        </w:rPr>
        <w:t>Which impacts should be studied most closely before the project is approved?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Choose up to four: water supply; wastewater; roads; schools; fire and emergency response; air quality; noise; greenhouse gas emissions; wildlife habitat; fiscal costs; other.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2  </w:t>
      </w:r>
      <w:r>
        <w:rPr>
          <w:rFonts w:ascii="Aptos" w:hAnsi="Aptos"/>
        </w:rPr>
        <w:t>How confident are you that existing public services can support the proposed development?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Five-point scale from Not at all confident to Extremely confident, plus Not enough information.</w:t>
      </w:r>
    </w:p>
    <w:p>
      <w:pPr>
        <w:keepNext/>
        <w:spacing w:after="60"/>
      </w:pPr>
      <w:r>
        <w:rPr>
          <w:rFonts w:ascii="Aptos" w:hAnsi="Aptos"/>
          <w:b/>
          <w:color w:val="123F36"/>
        </w:rPr>
        <w:t xml:space="preserve">Sample question 3  </w:t>
      </w:r>
      <w:r>
        <w:rPr>
          <w:rFonts w:ascii="Aptos" w:hAnsi="Aptos"/>
        </w:rPr>
        <w:t>Should project approvals depend on public reporting that identified infrastructure improvements are funded?</w:t>
      </w:r>
    </w:p>
    <w:p>
      <w:pPr>
        <w:spacing w:after="180"/>
        <w:ind w:left="317"/>
      </w:pPr>
      <w:r>
        <w:rPr>
          <w:rFonts w:ascii="Aptos" w:hAnsi="Aptos"/>
          <w:b/>
        </w:rPr>
        <w:t xml:space="preserve">Response format  </w:t>
      </w:r>
      <w:r>
        <w:rPr>
          <w:rFonts w:ascii="Aptos" w:hAnsi="Aptos"/>
        </w:rPr>
        <w:t>Yes; no; depends on the improvement; not sure.</w:t>
      </w:r>
    </w:p>
    <w:p>
      <w:r>
        <w:rPr>
          <w:rFonts w:ascii="Aptos" w:hAnsi="Aptos"/>
        </w:rPr>
        <w:br w:type="page"/>
      </w:r>
    </w:p>
    <w:p>
      <w:pPr>
        <w:pStyle w:val="Heading1"/>
      </w:pPr>
      <w:r>
        <w:rPr>
          <w:rFonts w:ascii="Aptos" w:hAnsi="Aptos"/>
        </w:rPr>
        <w:t>Survey administration and sample design</w:t>
      </w:r>
    </w:p>
    <w:p>
      <w:r>
        <w:rPr>
          <w:rFonts w:ascii="Aptos" w:hAnsi="Aptos"/>
        </w:rPr>
        <w:t>The survey should report two participation pathways separately. An invited sample can support citywide estimates when households are selected using a documented probability method and results are weighted appropriately. An open public link gives every interested resident a voice, but its results should be labeled supplemental because participants select themselves.</w:t>
      </w:r>
    </w:p>
    <w:p>
      <w:pPr>
        <w:pStyle w:val="Heading2"/>
      </w:pPr>
      <w:r>
        <w:rPr>
          <w:rFonts w:ascii="Aptos" w:hAnsi="Aptos"/>
        </w:rPr>
        <w:t>Invited sample</w:t>
      </w:r>
    </w:p>
    <w:p>
      <w:pPr>
        <w:pStyle w:val="ListBullet"/>
      </w:pPr>
      <w:r>
        <w:rPr>
          <w:rFonts w:ascii="Aptos" w:hAnsi="Aptos"/>
        </w:rPr>
        <w:t>Select residential addresses from a current sampling frame and invite households by mail. Additional contact methods may be used when they are tied to the sampled household.</w:t>
      </w:r>
    </w:p>
    <w:p>
      <w:pPr>
        <w:pStyle w:val="ListBullet"/>
      </w:pPr>
      <w:r>
        <w:rPr>
          <w:rFonts w:ascii="Aptos" w:hAnsi="Aptos"/>
        </w:rPr>
        <w:t>Assign each invitation a one-use access code. Do not encode an address, name, phone number, or political affiliation in the code.</w:t>
      </w:r>
    </w:p>
    <w:p>
      <w:pPr>
        <w:pStyle w:val="ListBullet"/>
      </w:pPr>
      <w:r>
        <w:rPr>
          <w:rFonts w:ascii="Aptos" w:hAnsi="Aptos"/>
        </w:rPr>
        <w:t>Randomly select an eligible adult within the household when the research design requires it, and offer telephone and secure online response options.</w:t>
      </w:r>
    </w:p>
    <w:p>
      <w:pPr>
        <w:pStyle w:val="ListBullet"/>
      </w:pPr>
      <w:r>
        <w:rPr>
          <w:rFonts w:ascii="Aptos" w:hAnsi="Aptos"/>
        </w:rPr>
        <w:t>Pretest the survey, rotate or randomize response choices where order could influence an answer, and publish the exact questionnaire.</w:t>
      </w:r>
    </w:p>
    <w:p>
      <w:pPr>
        <w:pStyle w:val="Heading2"/>
      </w:pPr>
      <w:r>
        <w:rPr>
          <w:rFonts w:ascii="Aptos" w:hAnsi="Aptos"/>
        </w:rPr>
        <w:t>Open public sample</w:t>
      </w:r>
    </w:p>
    <w:p>
      <w:pPr>
        <w:pStyle w:val="ListBullet"/>
      </w:pPr>
      <w:r>
        <w:rPr>
          <w:rFonts w:ascii="Aptos" w:hAnsi="Aptos"/>
        </w:rPr>
        <w:t>Allow any eligible adult to use the public link, while applying reasonable duplicate and automated-response checks.</w:t>
      </w:r>
    </w:p>
    <w:p>
      <w:pPr>
        <w:pStyle w:val="ListBullet"/>
      </w:pPr>
      <w:r>
        <w:rPr>
          <w:rFonts w:ascii="Aptos" w:hAnsi="Aptos"/>
        </w:rPr>
        <w:t>Do not combine open-link results with the invited sample when reporting percentages intended to represent the city.</w:t>
      </w:r>
    </w:p>
    <w:p>
      <w:pPr>
        <w:pStyle w:val="ListBullet"/>
      </w:pPr>
      <w:r>
        <w:rPr>
          <w:rFonts w:ascii="Aptos" w:hAnsi="Aptos"/>
        </w:rPr>
        <w:t>Publish the number of completed responses, field dates, screening rules, and any exclusions.</w:t>
      </w:r>
    </w:p>
    <w:p>
      <w:pPr>
        <w:pStyle w:val="Heading1"/>
      </w:pPr>
      <w:r>
        <w:rPr>
          <w:rFonts w:ascii="Aptos" w:hAnsi="Aptos"/>
        </w:rPr>
        <w:t>Anonymous response IDs</w:t>
      </w:r>
    </w:p>
    <w:p>
      <w:r>
        <w:rPr>
          <w:rFonts w:ascii="Aptos" w:hAnsi="Aptos"/>
        </w:rPr>
        <w:t>The system should assign a random response ID after a completed survey is accepted. The ID should confirm receipt and support deletion or support requests without revealing a person’s identity. It should not contain initials, an address, birth date, ZIP code, or a sequential number that exposes participation volume. Invitation codes and response IDs should be separate values.</w:t>
      </w:r>
    </w:p>
    <w:p>
      <w:r>
        <w:rPr>
          <w:rFonts w:ascii="Aptos" w:hAnsi="Aptos"/>
        </w:rPr>
        <w:t>Recommended display format: TO followed by three groups of four random letters or numbers, for example TO 7K4M 2Q9R 8XLD. The production system should generate IDs using a cryptographically secure random source and check for collisions before saving.</w:t>
      </w:r>
    </w:p>
    <w:p>
      <w:pPr>
        <w:pStyle w:val="Heading1"/>
      </w:pPr>
      <w:r>
        <w:rPr>
          <w:rFonts w:ascii="Aptos" w:hAnsi="Aptos"/>
        </w:rPr>
        <w:t>Optional publication of participant names</w:t>
      </w:r>
    </w:p>
    <w:p>
      <w:r>
        <w:rPr>
          <w:rFonts w:ascii="Aptos" w:hAnsi="Aptos"/>
        </w:rPr>
        <w:t>A participant must be able to complete the survey without providing a name or agreeing to publication. The consent control should be unchecked by default. Store the name and consent record separately from survey answers so a published participant list cannot be used to connect a person with specific responses.</w:t>
      </w:r>
    </w:p>
    <w:p>
      <w:pPr>
        <w:pStyle w:val="Heading2"/>
      </w:pPr>
      <w:r>
        <w:rPr>
          <w:rFonts w:ascii="Aptos" w:hAnsi="Aptos"/>
        </w:rPr>
        <w:t>Recommended consent wording</w:t>
      </w:r>
    </w:p>
    <w:p>
      <w:r>
        <w:rPr>
          <w:rFonts w:ascii="Aptos" w:hAnsi="Aptos"/>
        </w:rPr>
        <w:t>I give CRDTO permission to publish my name on a public list of people who completed the survey. My survey answers will not be published with my name. I understand that providing my name and giving this permission are optional.</w:t>
      </w:r>
    </w:p>
    <w:p>
      <w:r>
        <w:rPr>
          <w:rFonts w:ascii="Aptos" w:hAnsi="Aptos"/>
        </w:rPr>
        <w:t>If the box is checked, ask for the participant’s name exactly as it should appear. Provide a way to withdraw publication permission before the list is released and explain whom to contact afterward.</w:t>
      </w:r>
    </w:p>
    <w:p>
      <w:pPr>
        <w:pStyle w:val="Heading1"/>
      </w:pPr>
      <w:r>
        <w:rPr>
          <w:rFonts w:ascii="Aptos" w:hAnsi="Aptos"/>
        </w:rPr>
        <w:t>Reporting and privacy information to publish</w:t>
      </w:r>
    </w:p>
    <w:p>
      <w:pPr>
        <w:pStyle w:val="ListBullet"/>
      </w:pPr>
      <w:r>
        <w:rPr>
          <w:rFonts w:ascii="Aptos" w:hAnsi="Aptos"/>
        </w:rPr>
        <w:t>Survey sponsor, independent research firm, field dates, eligibility rules, recruitment methods, and languages offered.</w:t>
      </w:r>
    </w:p>
    <w:p>
      <w:pPr>
        <w:pStyle w:val="ListBullet"/>
      </w:pPr>
      <w:r>
        <w:rPr>
          <w:rFonts w:ascii="Aptos" w:hAnsi="Aptos"/>
        </w:rPr>
        <w:t>Question wording, response order procedures, completion and exclusion counts, weighting, sample size, margin of sampling error for the invited sample, and subgroup base sizes.</w:t>
      </w:r>
    </w:p>
    <w:p>
      <w:pPr>
        <w:pStyle w:val="ListBullet"/>
      </w:pPr>
      <w:r>
        <w:rPr>
          <w:rFonts w:ascii="Aptos" w:hAnsi="Aptos"/>
        </w:rPr>
        <w:t>What data are collected, why they are collected, who can access them, how long they are retained, and how a participant can request deletion or correction.</w:t>
      </w:r>
    </w:p>
    <w:p>
      <w:pPr>
        <w:pStyle w:val="ListBullet"/>
      </w:pPr>
      <w:r>
        <w:rPr>
          <w:rFonts w:ascii="Aptos" w:hAnsi="Aptos"/>
        </w:rPr>
        <w:t>A separate table for invited-sample results and open-link results, with no public release of names unless the participant gave explicit permission.</w:t>
      </w:r>
    </w:p>
    <w:p>
      <w:pPr>
        <w:pStyle w:val="Heading1"/>
      </w:pPr>
      <w:r>
        <w:rPr>
          <w:rFonts w:ascii="Aptos" w:hAnsi="Aptos"/>
        </w:rPr>
        <w:t>Final questionnaire review</w:t>
      </w:r>
    </w:p>
    <w:p>
      <w:r>
        <w:rPr>
          <w:rFonts w:ascii="Aptos" w:hAnsi="Aptos"/>
        </w:rPr>
        <w:t>Before launch, an independent survey researcher should review the questionnaire for leading language, double-barreled questions, unbalanced response options, reading level, accessibility, translation quality, and order effects. A small pilot should confirm timing and reveal questions that respondents interpret inconsistently. The final instrument and reporting plan should be published before results are presented.</w:t>
      </w:r>
    </w:p>
    <w:sectPr w:rsidR="00FC693F" w:rsidRPr="0006063C" w:rsidSect="00034616">
      <w:pgSz w:w="12240" w:h="15840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